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B3279E" w:rsidRPr="00120E90" w:rsidTr="009452CA">
        <w:tc>
          <w:tcPr>
            <w:tcW w:w="9635" w:type="dxa"/>
            <w:shd w:val="clear" w:color="auto" w:fill="auto"/>
          </w:tcPr>
          <w:p w:rsidR="00B3279E" w:rsidRPr="00120E90" w:rsidRDefault="00B3279E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79E" w:rsidRDefault="00B3279E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B3279E" w:rsidRDefault="00B3279E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B3279E" w:rsidRPr="00120E90" w:rsidRDefault="00B3279E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B3279E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B3279E" w:rsidRPr="00120E90" w:rsidRDefault="00B3279E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B3279E" w:rsidRDefault="00B3279E" w:rsidP="00B3279E"/>
    <w:p w:rsidR="00B3279E" w:rsidRDefault="00B3279E" w:rsidP="00B3279E"/>
    <w:p w:rsidR="00846AE6" w:rsidRDefault="00846AE6" w:rsidP="00846AE6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846AE6" w:rsidRDefault="00846AE6" w:rsidP="00846AE6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46AE6" w:rsidRDefault="00846AE6" w:rsidP="00846AE6">
      <w:pPr>
        <w:pStyle w:val="af1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846AE6" w:rsidRDefault="00846AE6" w:rsidP="00846AE6">
      <w:pPr>
        <w:pStyle w:val="af1"/>
        <w:spacing w:before="8"/>
        <w:rPr>
          <w:sz w:val="25"/>
        </w:rPr>
      </w:pPr>
      <w:r>
        <w:rPr>
          <w:sz w:val="25"/>
        </w:rPr>
        <w:t>Протокол №7</w:t>
      </w:r>
    </w:p>
    <w:p w:rsidR="00ED5BED" w:rsidRDefault="00ED5BED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</w:p>
    <w:p w:rsidR="00ED5BED" w:rsidRDefault="00ED5BED">
      <w:pPr>
        <w:spacing w:before="8"/>
        <w:rPr>
          <w:rFonts w:eastAsia="Times New Roman"/>
          <w:sz w:val="25"/>
          <w:lang w:eastAsia="zh-CN"/>
        </w:rPr>
      </w:pPr>
    </w:p>
    <w:p w:rsidR="00ED5BED" w:rsidRDefault="0019697F">
      <w:pPr>
        <w:keepNext/>
        <w:widowControl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ED5BED" w:rsidRDefault="0019697F">
      <w:pPr>
        <w:pStyle w:val="3"/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ИГР 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ED5BED" w:rsidRDefault="0019697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 xml:space="preserve">38.03.02 Менеджмент 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ED5BED" w:rsidRDefault="0019697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Финансовый менеджмент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ED5BED" w:rsidRDefault="0019697F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Заочная</w:t>
      </w:r>
    </w:p>
    <w:p w:rsidR="00ED5BED" w:rsidRDefault="00ED5BED">
      <w:pPr>
        <w:rPr>
          <w:rFonts w:eastAsia="Times New Roman"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sz w:val="28"/>
          <w:szCs w:val="28"/>
          <w:lang w:eastAsia="zh-CN"/>
        </w:rPr>
      </w:pPr>
    </w:p>
    <w:p w:rsidR="00ED5BED" w:rsidRDefault="00846AE6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Москва, 2020</w:t>
      </w:r>
    </w:p>
    <w:p w:rsidR="00ED5BED" w:rsidRDefault="0019697F">
      <w:pPr>
        <w:widowControl/>
        <w:spacing w:after="160" w:line="256" w:lineRule="auto"/>
      </w:pPr>
      <w:r>
        <w:br w:type="page"/>
      </w:r>
    </w:p>
    <w:p w:rsidR="00ED5BED" w:rsidRDefault="00ED5BED">
      <w:pPr>
        <w:jc w:val="center"/>
      </w:pPr>
    </w:p>
    <w:p w:rsidR="00ED5BED" w:rsidRDefault="0019697F">
      <w:pPr>
        <w:jc w:val="center"/>
      </w:pPr>
      <w:r>
        <w:t>СОДЕРЖАНИЕ</w:t>
      </w:r>
    </w:p>
    <w:p w:rsidR="00ED5BED" w:rsidRDefault="00ED5BED">
      <w:pPr>
        <w:jc w:val="center"/>
      </w:pPr>
    </w:p>
    <w:tbl>
      <w:tblPr>
        <w:tblStyle w:val="aff5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  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5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7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7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7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8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9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ind w:left="720"/>
            </w:pPr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14</w:t>
            </w:r>
          </w:p>
        </w:tc>
      </w:tr>
    </w:tbl>
    <w:p w:rsidR="00ED5BED" w:rsidRDefault="00ED5BED">
      <w:pPr>
        <w:widowControl/>
        <w:spacing w:after="160"/>
      </w:pPr>
    </w:p>
    <w:p w:rsidR="00ED5BED" w:rsidRDefault="0019697F">
      <w:pPr>
        <w:widowControl/>
        <w:spacing w:after="160"/>
      </w:pPr>
      <w:r>
        <w:br w:type="page"/>
      </w:r>
    </w:p>
    <w:p w:rsidR="00ED5BED" w:rsidRDefault="00ED5BED">
      <w:pPr>
        <w:widowControl/>
        <w:spacing w:after="160"/>
      </w:pPr>
    </w:p>
    <w:p w:rsidR="00ED5BED" w:rsidRDefault="0019697F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3" w:name="_Toc459975976"/>
      <w:bookmarkEnd w:id="3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D5BED" w:rsidRDefault="00ED5BED">
      <w:pPr>
        <w:tabs>
          <w:tab w:val="left" w:pos="426"/>
        </w:tabs>
        <w:ind w:right="-5" w:firstLine="567"/>
        <w:rPr>
          <w:b/>
        </w:rPr>
      </w:pPr>
    </w:p>
    <w:p w:rsidR="00ED5BED" w:rsidRDefault="0019697F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ED5BED" w:rsidRDefault="00ED5BED">
      <w:pPr>
        <w:pStyle w:val="af1"/>
        <w:spacing w:before="1"/>
        <w:rPr>
          <w:i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ED5BED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1"/>
              <w:spacing w:before="1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ED5BED" w:rsidRDefault="0019697F">
            <w:pPr>
              <w:pStyle w:val="af1"/>
              <w:spacing w:before="1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1"/>
              <w:spacing w:before="1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ED5BED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1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ПК-10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both"/>
            </w:pP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ED5BED" w:rsidRDefault="0019697F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>основные термины теории игр;</w:t>
            </w:r>
          </w:p>
          <w:p w:rsidR="00ED5BED" w:rsidRDefault="0019697F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 xml:space="preserve">способы моделирования различных видов экономических ситуаций в терминах теории игр, </w:t>
            </w:r>
          </w:p>
          <w:p w:rsidR="00ED5BED" w:rsidRDefault="0019697F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>приемы решения основных типов экономико-управленческих задач методами теории игр;</w:t>
            </w:r>
          </w:p>
          <w:p w:rsidR="00ED5BED" w:rsidRDefault="0019697F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ED5BED" w:rsidRDefault="0019697F">
            <w:pPr>
              <w:shd w:val="clear" w:color="auto" w:fill="FFFFFF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выделять на основе содержательного описания экономически значимых задач элементы формальных моделей математической теории игр владеть техникой работы с основными понятиями и результатами теории игр;</w:t>
            </w:r>
          </w:p>
          <w:p w:rsidR="00ED5BED" w:rsidRDefault="0019697F">
            <w:pPr>
              <w:shd w:val="clear" w:color="auto" w:fill="FFFFFF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проводить доказательства основных теорем теории; выделять и анализировать свойства полученных решений;</w:t>
            </w:r>
          </w:p>
          <w:p w:rsidR="00ED5BED" w:rsidRDefault="0019697F">
            <w:pPr>
              <w:shd w:val="clear" w:color="auto" w:fill="FFFFFF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решать типовые, конкретные задачи, примеры которых рассматриваются в лекционном курсе;</w:t>
            </w:r>
          </w:p>
          <w:p w:rsidR="00ED5BED" w:rsidRDefault="0019697F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ED5BED" w:rsidRDefault="0019697F">
            <w:pPr>
              <w:shd w:val="clear" w:color="auto" w:fill="FFFFFF"/>
              <w:jc w:val="both"/>
              <w:rPr>
                <w:i/>
              </w:rPr>
            </w:pPr>
            <w:r>
              <w:rPr>
                <w:spacing w:val="-8"/>
              </w:rPr>
              <w:t>стандартными методиками моделирования экономических процессов с использованием инструментов теории игр и находить оптимальные управленческие  решения.</w:t>
            </w:r>
          </w:p>
        </w:tc>
      </w:tr>
    </w:tbl>
    <w:p w:rsidR="00ED5BED" w:rsidRDefault="00ED5BED">
      <w:pPr>
        <w:ind w:firstLine="540"/>
        <w:jc w:val="center"/>
        <w:rPr>
          <w:b/>
        </w:rPr>
      </w:pPr>
    </w:p>
    <w:p w:rsidR="00ED5BED" w:rsidRDefault="0019697F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ED5BED" w:rsidRDefault="00ED5BED">
      <w:pPr>
        <w:ind w:firstLine="540"/>
        <w:jc w:val="both"/>
      </w:pPr>
    </w:p>
    <w:p w:rsidR="00ED5BED" w:rsidRDefault="0019697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реализуется в рамках вариативной части и относится к обязательным дисциплинам. </w:t>
      </w:r>
    </w:p>
    <w:p w:rsidR="00ED5BED" w:rsidRDefault="0019697F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«Линейная алгебра».</w:t>
      </w:r>
    </w:p>
    <w:p w:rsidR="00ED5BED" w:rsidRDefault="0019697F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«Теория игр» является основой для освоения таких предметов, как </w:t>
      </w:r>
      <w:r>
        <w:rPr>
          <w:sz w:val="24"/>
          <w:szCs w:val="24"/>
        </w:rPr>
        <w:lastRenderedPageBreak/>
        <w:t>экономическая теория, статистика, финансовый менеджмент, инвестиционный анализ, методы моделирования и прогнозирования экономики.</w:t>
      </w:r>
    </w:p>
    <w:p w:rsidR="00ED5BED" w:rsidRDefault="0019697F">
      <w:pPr>
        <w:ind w:firstLine="400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1-м курсе (2-й семестр) для заочной формы обучения.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jc w:val="both"/>
        <w:rPr>
          <w:shd w:val="clear" w:color="auto" w:fill="FFFF00"/>
        </w:rPr>
      </w:pPr>
    </w:p>
    <w:p w:rsidR="00ED5BED" w:rsidRDefault="0019697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ED5BED" w:rsidRDefault="00ED5BED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ED5BED" w:rsidRDefault="0019697F">
      <w:pPr>
        <w:pStyle w:val="af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ED5BED" w:rsidRDefault="0019697F">
      <w:pPr>
        <w:pStyle w:val="af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Объём дисциплины по видам учебных занятий (в часах) </w:t>
      </w:r>
    </w:p>
    <w:p w:rsidR="00ED5BED" w:rsidRDefault="00ED5BED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9"/>
        <w:gridCol w:w="222"/>
        <w:gridCol w:w="4118"/>
      </w:tblGrid>
      <w:tr w:rsidR="00ED5BED">
        <w:trPr>
          <w:trHeight w:hRule="exact" w:val="331"/>
        </w:trPr>
        <w:tc>
          <w:tcPr>
            <w:tcW w:w="5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ED5BED">
        <w:trPr>
          <w:trHeight w:hRule="exact" w:val="519"/>
        </w:trPr>
        <w:tc>
          <w:tcPr>
            <w:tcW w:w="5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/>
        </w:tc>
        <w:tc>
          <w:tcPr>
            <w:tcW w:w="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ED5BED">
        <w:trPr>
          <w:trHeight w:hRule="exact" w:val="343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108</w:t>
            </w:r>
          </w:p>
        </w:tc>
      </w:tr>
      <w:tr w:rsidR="00ED5BED">
        <w:trPr>
          <w:trHeight w:hRule="exact" w:val="645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19697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441809">
              <w:rPr>
                <w:sz w:val="24"/>
                <w:szCs w:val="24"/>
                <w:lang w:val="ru-RU"/>
              </w:rPr>
              <w:t>Контактная</w:t>
            </w:r>
            <w:r w:rsidRPr="0044180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41809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ED5BED">
            <w:pPr>
              <w:jc w:val="center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rPr>
          <w:trHeight w:hRule="exact" w:val="334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/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rPr>
          <w:trHeight w:hRule="exact" w:val="331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</w:tr>
      <w:tr w:rsidR="00ED5BED">
        <w:trPr>
          <w:trHeight w:hRule="exact" w:val="332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rPr>
          <w:trHeight w:hRule="exact" w:val="332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8</w:t>
            </w:r>
          </w:p>
        </w:tc>
      </w:tr>
      <w:tr w:rsidR="00ED5BED">
        <w:trPr>
          <w:trHeight w:hRule="exact" w:val="334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96</w:t>
            </w:r>
          </w:p>
        </w:tc>
      </w:tr>
      <w:tr w:rsidR="00ED5BED">
        <w:trPr>
          <w:trHeight w:hRule="exact" w:val="465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87</w:t>
            </w:r>
          </w:p>
        </w:tc>
      </w:tr>
      <w:tr w:rsidR="00ED5BED">
        <w:trPr>
          <w:trHeight w:hRule="exact" w:val="699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19697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44180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44180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41809">
              <w:rPr>
                <w:sz w:val="24"/>
                <w:szCs w:val="24"/>
                <w:lang w:val="ru-RU"/>
              </w:rPr>
              <w:t xml:space="preserve">обучающегося –  экзамен.  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ED5BED">
            <w:pPr>
              <w:jc w:val="center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9</w:t>
            </w:r>
          </w:p>
        </w:tc>
      </w:tr>
    </w:tbl>
    <w:p w:rsidR="00ED5BED" w:rsidRDefault="00ED5BED">
      <w:pPr>
        <w:ind w:firstLine="540"/>
        <w:jc w:val="center"/>
        <w:rPr>
          <w:b/>
        </w:rPr>
      </w:pPr>
    </w:p>
    <w:p w:rsidR="00ED5BED" w:rsidRDefault="0019697F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D5BED" w:rsidRDefault="00ED5BED">
      <w:pPr>
        <w:ind w:firstLine="540"/>
        <w:jc w:val="center"/>
        <w:rPr>
          <w:b/>
        </w:rPr>
      </w:pPr>
    </w:p>
    <w:p w:rsidR="00ED5BED" w:rsidRDefault="0019697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ED5BED" w:rsidRDefault="00ED5BED">
      <w:pPr>
        <w:jc w:val="center"/>
        <w:rPr>
          <w:b/>
        </w:rPr>
      </w:pPr>
    </w:p>
    <w:p w:rsidR="00ED5BED" w:rsidRDefault="0019697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ED5BED" w:rsidRDefault="00ED5BED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2818"/>
        <w:gridCol w:w="579"/>
        <w:gridCol w:w="579"/>
        <w:gridCol w:w="620"/>
        <w:gridCol w:w="780"/>
        <w:gridCol w:w="946"/>
        <w:gridCol w:w="333"/>
        <w:gridCol w:w="660"/>
        <w:gridCol w:w="520"/>
        <w:gridCol w:w="581"/>
        <w:gridCol w:w="1917"/>
      </w:tblGrid>
      <w:tr w:rsidR="00ED5BED">
        <w:trPr>
          <w:cantSplit/>
          <w:trHeight w:val="742"/>
        </w:trPr>
        <w:tc>
          <w:tcPr>
            <w:tcW w:w="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Семестр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Курс</w:t>
            </w:r>
          </w:p>
        </w:tc>
        <w:tc>
          <w:tcPr>
            <w:tcW w:w="50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 промежуточной аттестации </w:t>
            </w:r>
          </w:p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(по семестрам)</w:t>
            </w:r>
          </w:p>
        </w:tc>
      </w:tr>
      <w:tr w:rsidR="00ED5BED">
        <w:trPr>
          <w:cantSplit/>
          <w:trHeight w:val="438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lang w:eastAsia="zh-CN" w:bidi="hi-IN"/>
              </w:rPr>
            </w:pPr>
          </w:p>
        </w:tc>
      </w:tr>
      <w:tr w:rsidR="00ED5BED">
        <w:trPr>
          <w:cantSplit/>
          <w:trHeight w:hRule="exact" w:val="2783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ED5BED" w:rsidRDefault="00ED5BE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ED5BED" w:rsidRDefault="00ED5BED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lang w:eastAsia="zh-CN" w:bidi="hi-IN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lang w:eastAsia="zh-CN" w:bidi="hi-IN"/>
              </w:rPr>
            </w:pP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hd w:val="clear" w:color="auto" w:fill="FFFFFF"/>
              <w:ind w:right="134" w:firstLine="5"/>
            </w:pPr>
            <w:r>
              <w:t>Введение: задачи принятия решений и анализ сложных экономических явлений как предмет исследований математической теории игр.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18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Антагонистические игры: основы теории матричных игр.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21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18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Антагонистические игры: основные методы нахождения решений игровых задач.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21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18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pacing w:line="254" w:lineRule="auto"/>
            </w:pPr>
            <w:r>
              <w:rPr>
                <w:lang w:eastAsia="en-US"/>
              </w:rPr>
              <w:t>Опрос</w:t>
            </w:r>
          </w:p>
        </w:tc>
      </w:tr>
      <w:tr w:rsidR="00ED5BED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Теория бескоалиционных игр: подходы к принятию решений.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20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hd w:val="clear" w:color="auto" w:fill="FFFFFF"/>
            </w:pPr>
            <w:r>
              <w:t>Кооперативные игры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19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</w:tr>
    </w:tbl>
    <w:p w:rsidR="00ED5BED" w:rsidRDefault="00ED5BED">
      <w:pPr>
        <w:ind w:firstLine="540"/>
        <w:jc w:val="center"/>
        <w:rPr>
          <w:b/>
        </w:rPr>
      </w:pPr>
      <w:bookmarkStart w:id="5" w:name="_Toc459975981"/>
      <w:bookmarkEnd w:id="5"/>
    </w:p>
    <w:p w:rsidR="00ED5BED" w:rsidRDefault="0019697F">
      <w:pPr>
        <w:ind w:firstLine="540"/>
        <w:jc w:val="center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ED5BED" w:rsidRDefault="00ED5BED">
      <w:pPr>
        <w:pStyle w:val="af1"/>
        <w:ind w:firstLine="540"/>
        <w:jc w:val="both"/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1. </w:t>
      </w:r>
      <w:r>
        <w:rPr>
          <w:b/>
          <w:bCs/>
          <w:i/>
        </w:rPr>
        <w:t>З</w:t>
      </w:r>
      <w:r>
        <w:rPr>
          <w:b/>
          <w:bCs/>
          <w:i/>
          <w:spacing w:val="-8"/>
        </w:rPr>
        <w:t>адачи принятия решений и анализ сложных эко</w:t>
      </w:r>
      <w:r>
        <w:rPr>
          <w:b/>
          <w:bCs/>
          <w:i/>
          <w:spacing w:val="-7"/>
        </w:rPr>
        <w:t xml:space="preserve">номических явлений как предмет исследований математической теории </w:t>
      </w:r>
      <w:r>
        <w:rPr>
          <w:b/>
          <w:bCs/>
          <w:i/>
        </w:rPr>
        <w:t>игр</w:t>
      </w:r>
    </w:p>
    <w:p w:rsidR="00ED5BED" w:rsidRDefault="00ED5BED">
      <w:pPr>
        <w:ind w:firstLine="709"/>
        <w:jc w:val="both"/>
        <w:rPr>
          <w:i/>
        </w:rPr>
      </w:pPr>
    </w:p>
    <w:p w:rsidR="00ED5BED" w:rsidRDefault="0019697F">
      <w:pPr>
        <w:ind w:firstLine="709"/>
        <w:jc w:val="both"/>
      </w:pPr>
      <w:r>
        <w:rPr>
          <w:i/>
        </w:rPr>
        <w:t>Содержание лекционного курса</w:t>
      </w:r>
    </w:p>
    <w:p w:rsidR="00ED5BED" w:rsidRDefault="0019697F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Многосторонность интересов в процессе исследования, моделирова</w:t>
      </w:r>
      <w:r>
        <w:rPr>
          <w:spacing w:val="-9"/>
        </w:rPr>
        <w:t>ния и управления в экономике. Задачи многокритериальной оптими</w:t>
      </w:r>
      <w:r>
        <w:t xml:space="preserve">зации. </w:t>
      </w:r>
      <w:r>
        <w:rPr>
          <w:spacing w:val="-7"/>
        </w:rPr>
        <w:t xml:space="preserve">Основные определения и положения математической теории игр. </w:t>
      </w:r>
      <w:r>
        <w:rPr>
          <w:spacing w:val="-10"/>
        </w:rPr>
        <w:t>Общая математическая модель игры, понятия участников игры, стра</w:t>
      </w:r>
      <w:r>
        <w:t>тегий, функций выигрыша.</w:t>
      </w:r>
    </w:p>
    <w:p w:rsidR="00ED5BED" w:rsidRDefault="00ED5BED">
      <w:pPr>
        <w:ind w:firstLine="709"/>
        <w:jc w:val="center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Классификация игр, проблематика математической теории игр и об</w:t>
      </w:r>
      <w:r>
        <w:t>щие сведения о методах их решения.</w:t>
      </w:r>
    </w:p>
    <w:p w:rsidR="00ED5BED" w:rsidRDefault="0019697F">
      <w:pPr>
        <w:shd w:val="clear" w:color="auto" w:fill="FFFFFF"/>
        <w:tabs>
          <w:tab w:val="left" w:pos="1224"/>
        </w:tabs>
        <w:ind w:firstLine="709"/>
        <w:jc w:val="both"/>
      </w:pPr>
      <w:r>
        <w:t xml:space="preserve">2. </w:t>
      </w:r>
      <w:r>
        <w:rPr>
          <w:spacing w:val="-8"/>
        </w:rPr>
        <w:t xml:space="preserve">Составление математических моделей прикладных задач из области экономики, менеджмента, военного дела, связи и других с позиций </w:t>
      </w:r>
      <w:r>
        <w:t>теории игр.</w:t>
      </w:r>
    </w:p>
    <w:p w:rsidR="00ED5BED" w:rsidRDefault="00ED5BED">
      <w:pPr>
        <w:shd w:val="clear" w:color="auto" w:fill="FFFFFF"/>
        <w:ind w:firstLine="709"/>
        <w:jc w:val="center"/>
        <w:rPr>
          <w:b/>
          <w:i/>
        </w:rPr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  <w:spacing w:val="-9"/>
        </w:rPr>
      </w:pPr>
      <w:r>
        <w:rPr>
          <w:b/>
          <w:i/>
        </w:rPr>
        <w:lastRenderedPageBreak/>
        <w:t xml:space="preserve">Тема 2. </w:t>
      </w:r>
      <w:r>
        <w:rPr>
          <w:b/>
          <w:bCs/>
          <w:i/>
          <w:spacing w:val="-9"/>
        </w:rPr>
        <w:t>Антагонистические игры: основы теории матричных игр</w:t>
      </w:r>
    </w:p>
    <w:p w:rsidR="00ED5BED" w:rsidRDefault="00ED5BED">
      <w:pPr>
        <w:ind w:firstLine="709"/>
        <w:jc w:val="center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ED5BED" w:rsidRDefault="0019697F">
      <w:pPr>
        <w:ind w:firstLine="709"/>
        <w:jc w:val="both"/>
      </w:pPr>
      <w:r>
        <w:rPr>
          <w:spacing w:val="-10"/>
        </w:rPr>
        <w:t>Антагонистические игры (общие понятия). Оптимальность в антаго</w:t>
      </w:r>
      <w:r>
        <w:t xml:space="preserve">нистических играх. </w:t>
      </w:r>
      <w:r>
        <w:rPr>
          <w:spacing w:val="-8"/>
        </w:rPr>
        <w:t xml:space="preserve">Матричные игры, стратегии и функции выигрыша. Максиминные и </w:t>
      </w:r>
      <w:r>
        <w:rPr>
          <w:spacing w:val="-11"/>
        </w:rPr>
        <w:t xml:space="preserve">минимаксные стратегии. Понятие верхней и нижней цены игры, связь </w:t>
      </w:r>
      <w:r>
        <w:rPr>
          <w:spacing w:val="-9"/>
        </w:rPr>
        <w:t xml:space="preserve">между ними. Понятие о седловой точке в матричной игре. </w:t>
      </w:r>
      <w:r>
        <w:rPr>
          <w:spacing w:val="-8"/>
        </w:rPr>
        <w:t>Некоторые сведения из теории выпуклых функций и множеств. Ус</w:t>
      </w:r>
      <w:r>
        <w:rPr>
          <w:spacing w:val="-6"/>
        </w:rPr>
        <w:t>ловия перестановочности операций максимина и минимака Теоре</w:t>
      </w:r>
      <w:r>
        <w:t xml:space="preserve">мы отделимости выпуклых множеств. </w:t>
      </w:r>
      <w:r>
        <w:rPr>
          <w:spacing w:val="-9"/>
        </w:rPr>
        <w:t xml:space="preserve">Смешанное расширение матричной игры. Понятия о смешанных стратегиях. Математическое ожидание выигрыша. Существование решения матричной игры в классе смешанных стратегий. Теорема о </w:t>
      </w:r>
      <w:r>
        <w:t>минимаксе. Цена игры.</w:t>
      </w:r>
    </w:p>
    <w:p w:rsidR="00ED5BED" w:rsidRDefault="00ED5BED">
      <w:pPr>
        <w:ind w:firstLine="709"/>
        <w:jc w:val="both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Существование решения матричной игры в классе смешанных стратегий. Теорема о </w:t>
      </w:r>
      <w:r>
        <w:rPr>
          <w:rFonts w:ascii="Times New Roman" w:hAnsi="Times New Roman" w:cs="Times New Roman"/>
          <w:sz w:val="24"/>
          <w:szCs w:val="24"/>
        </w:rPr>
        <w:t>минимаксе. Цена игры.</w:t>
      </w:r>
    </w:p>
    <w:p w:rsidR="00ED5BED" w:rsidRDefault="0019697F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Свойства оптимальных стратегий и цены игры. Доминирование стра</w:t>
      </w:r>
      <w:r>
        <w:rPr>
          <w:rFonts w:ascii="Times New Roman" w:hAnsi="Times New Roman" w:cs="Times New Roman"/>
          <w:sz w:val="24"/>
          <w:szCs w:val="24"/>
        </w:rPr>
        <w:t>тегий. Вполне смешанные и симметричные игры</w:t>
      </w:r>
    </w:p>
    <w:p w:rsidR="00ED5BED" w:rsidRDefault="00ED5BED">
      <w:pPr>
        <w:ind w:firstLine="709"/>
        <w:jc w:val="both"/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Тема3. </w:t>
      </w:r>
      <w:r>
        <w:rPr>
          <w:b/>
          <w:bCs/>
          <w:i/>
          <w:spacing w:val="-6"/>
        </w:rPr>
        <w:t xml:space="preserve">Антагонистические игры: основные методы нахождения </w:t>
      </w:r>
      <w:r>
        <w:rPr>
          <w:b/>
          <w:bCs/>
          <w:i/>
        </w:rPr>
        <w:t>решений игровых задач</w:t>
      </w:r>
    </w:p>
    <w:p w:rsidR="00ED5BED" w:rsidRDefault="00ED5BED">
      <w:pPr>
        <w:shd w:val="clear" w:color="auto" w:fill="FFFFFF"/>
        <w:ind w:firstLine="709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ED5BED" w:rsidRDefault="0019697F">
      <w:pPr>
        <w:shd w:val="clear" w:color="auto" w:fill="FFFFFF"/>
        <w:tabs>
          <w:tab w:val="left" w:pos="1238"/>
        </w:tabs>
        <w:ind w:firstLine="709"/>
        <w:jc w:val="both"/>
      </w:pPr>
      <w:r>
        <w:rPr>
          <w:spacing w:val="-8"/>
        </w:rPr>
        <w:t xml:space="preserve">Нахождение седловых точек в чистых стратегиях. Необходимые и </w:t>
      </w:r>
      <w:r>
        <w:rPr>
          <w:spacing w:val="-9"/>
        </w:rPr>
        <w:t xml:space="preserve">достаточные условия оптимальности в прямоугольных (матричных) </w:t>
      </w:r>
      <w:r>
        <w:t xml:space="preserve">играх. </w:t>
      </w:r>
      <w:r>
        <w:rPr>
          <w:spacing w:val="-10"/>
        </w:rPr>
        <w:t>Решение систем линейных неравенств с использованием свойств оп</w:t>
      </w:r>
      <w:r>
        <w:t>тимальных смешанных стратегий.</w:t>
      </w:r>
    </w:p>
    <w:p w:rsidR="00ED5BED" w:rsidRDefault="0019697F">
      <w:pPr>
        <w:shd w:val="clear" w:color="auto" w:fill="FFFFFF"/>
        <w:ind w:firstLine="709"/>
        <w:jc w:val="both"/>
      </w:pPr>
      <w:r>
        <w:rPr>
          <w:spacing w:val="-8"/>
        </w:rPr>
        <w:t>Редуцирование основных платежных матриц на основе свойств пре</w:t>
      </w:r>
      <w:r>
        <w:t xml:space="preserve">восходства стратегий. </w:t>
      </w:r>
      <w:r>
        <w:rPr>
          <w:spacing w:val="-8"/>
        </w:rPr>
        <w:t xml:space="preserve">Понятие об эквивалентных матричных играх. Бинарное отношение </w:t>
      </w:r>
      <w:r>
        <w:rPr>
          <w:spacing w:val="-10"/>
        </w:rPr>
        <w:t>эквивалентности на множестве матричных игр, классы эквивалентно</w:t>
      </w:r>
      <w:r>
        <w:t>сти.</w:t>
      </w:r>
    </w:p>
    <w:p w:rsidR="00ED5BED" w:rsidRDefault="00ED5BED">
      <w:pPr>
        <w:ind w:firstLine="709"/>
        <w:jc w:val="both"/>
        <w:rPr>
          <w:i/>
        </w:rPr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Решение систем линейных неравенств с использованием свойств оп</w:t>
      </w:r>
      <w:r>
        <w:rPr>
          <w:rFonts w:ascii="Times New Roman" w:hAnsi="Times New Roman" w:cs="Times New Roman"/>
          <w:sz w:val="24"/>
          <w:szCs w:val="24"/>
        </w:rPr>
        <w:t>тимальных смешанных стратегий.</w:t>
      </w:r>
    </w:p>
    <w:p w:rsidR="00ED5BED" w:rsidRDefault="0019697F">
      <w:pPr>
        <w:pStyle w:val="af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Итеративные методы решения матричных игр. Метод Брауна-фон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Неймана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>метод Робинсона  (фиктивного разыгрывания).</w:t>
      </w:r>
    </w:p>
    <w:p w:rsidR="00ED5BED" w:rsidRDefault="00ED5BED">
      <w:pPr>
        <w:shd w:val="clear" w:color="auto" w:fill="FFFFFF"/>
        <w:ind w:firstLine="709"/>
        <w:jc w:val="center"/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4. </w:t>
      </w:r>
      <w:r>
        <w:rPr>
          <w:b/>
          <w:bCs/>
          <w:i/>
          <w:spacing w:val="-7"/>
        </w:rPr>
        <w:t>Теория бескоалиционных игр: подходы к принятию реше</w:t>
      </w:r>
      <w:r>
        <w:rPr>
          <w:b/>
          <w:bCs/>
          <w:i/>
        </w:rPr>
        <w:t>ний</w:t>
      </w:r>
    </w:p>
    <w:p w:rsidR="00ED5BED" w:rsidRDefault="00ED5BED">
      <w:pPr>
        <w:ind w:firstLine="709"/>
        <w:jc w:val="center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pacing w:val="-10"/>
        </w:rPr>
        <w:t>Понятие о бескоалиционной игре в нормальной форме. Основные со</w:t>
      </w:r>
      <w:r>
        <w:rPr>
          <w:spacing w:val="-11"/>
        </w:rPr>
        <w:t>отношения между бескоалиционными играми. Оптимальность в бес</w:t>
      </w:r>
      <w:r>
        <w:t xml:space="preserve">коалиционной игре. </w:t>
      </w:r>
      <w:r>
        <w:rPr>
          <w:spacing w:val="-7"/>
        </w:rPr>
        <w:t>Смешанное расширение бескоалиционной игры. Равновесие по Нэ</w:t>
      </w:r>
      <w:r>
        <w:rPr>
          <w:spacing w:val="-8"/>
        </w:rPr>
        <w:t>шу. Теорема Нэша. Свойства ситуаций равновесия. Ситуации, оптимальные по Парето. Оптимальность по конусу в за</w:t>
      </w:r>
      <w:r>
        <w:t>дачах векторной оптимизации.</w:t>
      </w:r>
    </w:p>
    <w:p w:rsidR="00ED5BED" w:rsidRDefault="00ED5BED">
      <w:pPr>
        <w:ind w:firstLine="709"/>
        <w:jc w:val="both"/>
        <w:rPr>
          <w:i/>
        </w:rPr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Оптимальность в бес</w:t>
      </w:r>
      <w:r>
        <w:rPr>
          <w:rFonts w:ascii="Times New Roman" w:hAnsi="Times New Roman" w:cs="Times New Roman"/>
          <w:sz w:val="24"/>
          <w:szCs w:val="24"/>
        </w:rPr>
        <w:t>коалиционной игре.</w:t>
      </w:r>
    </w:p>
    <w:p w:rsidR="00ED5BED" w:rsidRDefault="0019697F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Ситуации, оптимальные по Парето</w:t>
      </w:r>
    </w:p>
    <w:p w:rsidR="00ED5BED" w:rsidRDefault="00ED5BED">
      <w:pPr>
        <w:ind w:firstLine="709"/>
        <w:jc w:val="center"/>
        <w:rPr>
          <w:b/>
          <w:i/>
        </w:rPr>
      </w:pPr>
    </w:p>
    <w:p w:rsidR="00ED5BED" w:rsidRDefault="0019697F">
      <w:pPr>
        <w:ind w:firstLine="709"/>
        <w:jc w:val="center"/>
        <w:rPr>
          <w:b/>
          <w:bCs/>
          <w:i/>
          <w:spacing w:val="-5"/>
        </w:rPr>
      </w:pPr>
      <w:r>
        <w:rPr>
          <w:b/>
          <w:i/>
        </w:rPr>
        <w:t xml:space="preserve">Тема 5. </w:t>
      </w:r>
      <w:r>
        <w:rPr>
          <w:b/>
          <w:bCs/>
          <w:i/>
          <w:spacing w:val="-5"/>
        </w:rPr>
        <w:t>Кооперативные игры.</w:t>
      </w:r>
    </w:p>
    <w:p w:rsidR="00ED5BED" w:rsidRDefault="00ED5BED">
      <w:pPr>
        <w:shd w:val="clear" w:color="auto" w:fill="FFFFFF"/>
        <w:ind w:firstLine="709"/>
        <w:rPr>
          <w:b/>
          <w:u w:val="single"/>
        </w:rPr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ED5BED" w:rsidRDefault="0019697F">
      <w:pPr>
        <w:shd w:val="clear" w:color="auto" w:fill="FFFFFF"/>
        <w:ind w:firstLine="709"/>
        <w:jc w:val="both"/>
      </w:pPr>
      <w:r>
        <w:rPr>
          <w:spacing w:val="-8"/>
        </w:rPr>
        <w:t xml:space="preserve">Классическая теория характеристических функций коалиционной (кооперативной) игры. </w:t>
      </w:r>
      <w:r>
        <w:rPr>
          <w:spacing w:val="-8"/>
        </w:rPr>
        <w:lastRenderedPageBreak/>
        <w:t xml:space="preserve">Абстрактные характеристические функции и </w:t>
      </w:r>
      <w:r>
        <w:rPr>
          <w:spacing w:val="-9"/>
        </w:rPr>
        <w:t xml:space="preserve">их реализация в конкретных примерах экономических моделей. </w:t>
      </w:r>
      <w:r>
        <w:rPr>
          <w:spacing w:val="-8"/>
        </w:rPr>
        <w:t>Свойства характеристических функций игры. Стратегическая эквива</w:t>
      </w:r>
      <w:r>
        <w:rPr>
          <w:spacing w:val="-9"/>
        </w:rPr>
        <w:t>лентность. Приведение игры к редуцированной "0-1" форме. Существенные и несущественные игры. Классификация коалицион</w:t>
      </w:r>
      <w:r>
        <w:t>ных игр двух и трех лиц.</w:t>
      </w:r>
    </w:p>
    <w:p w:rsidR="00ED5BED" w:rsidRDefault="00ED5BED">
      <w:pPr>
        <w:ind w:firstLine="709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Абстрактные характеристические функции и </w:t>
      </w:r>
      <w:r>
        <w:rPr>
          <w:rFonts w:ascii="Times New Roman" w:hAnsi="Times New Roman" w:cs="Times New Roman"/>
          <w:spacing w:val="-9"/>
          <w:sz w:val="24"/>
          <w:szCs w:val="24"/>
        </w:rPr>
        <w:t>их реализация в конкретных примерах экономических моделей.</w:t>
      </w:r>
    </w:p>
    <w:p w:rsidR="00ED5BED" w:rsidRDefault="0019697F">
      <w:pPr>
        <w:pStyle w:val="af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Существенные и несущественные игры.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ED5BED" w:rsidRDefault="00ED5BED">
      <w:pPr>
        <w:ind w:firstLine="540"/>
        <w:jc w:val="center"/>
      </w:pPr>
    </w:p>
    <w:p w:rsidR="00ED5BED" w:rsidRDefault="0019697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ED5BED" w:rsidRDefault="0019697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ED5BED" w:rsidRDefault="0019697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ED5BED" w:rsidRDefault="0019697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ED5BED" w:rsidRDefault="00ED5BED">
      <w:pPr>
        <w:ind w:firstLine="540"/>
        <w:jc w:val="center"/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«Теория игр</w:t>
      </w:r>
      <w:r>
        <w:rPr>
          <w:sz w:val="28"/>
        </w:rPr>
        <w:t>».</w:t>
      </w:r>
    </w:p>
    <w:p w:rsidR="00ED5BED" w:rsidRDefault="00ED5BED">
      <w:pPr>
        <w:ind w:right="-5" w:firstLine="567"/>
        <w:jc w:val="both"/>
        <w:rPr>
          <w:b/>
        </w:rPr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D5BED" w:rsidRDefault="00ED5BED">
      <w:pPr>
        <w:ind w:right="-5" w:firstLine="567"/>
        <w:jc w:val="both"/>
        <w:rPr>
          <w:b/>
        </w:rPr>
      </w:pPr>
    </w:p>
    <w:p w:rsidR="00ED5BED" w:rsidRDefault="0019697F">
      <w:pPr>
        <w:ind w:firstLine="709"/>
        <w:jc w:val="center"/>
      </w:pPr>
      <w:r>
        <w:rPr>
          <w:b/>
        </w:rPr>
        <w:t>7.1. Основная учебная литература</w:t>
      </w:r>
    </w:p>
    <w:p w:rsidR="00ED5BED" w:rsidRDefault="00ED5BED">
      <w:pPr>
        <w:ind w:firstLine="709"/>
        <w:jc w:val="both"/>
      </w:pPr>
    </w:p>
    <w:p w:rsidR="00ED5BED" w:rsidRDefault="0019697F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Салмина, Н. Ю. Теория игр [Электронный ресурс] : учебное пособие / Н. Ю. Салмина. — Электрон. текстовые данные. — Томск : Томский государственный университет систем управления и радиоэлектроники, Эль Контент, 2015. — 107 c. — 2227-8397. — Режим доступа: http://www.iprbookshop.ru/69994.html</w:t>
      </w:r>
    </w:p>
    <w:p w:rsidR="00ED5BED" w:rsidRDefault="0019697F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Дубина, И. Н. Основы теории игр и ее приложения в экономике и менеджменте [Электронный ресурс] : учебное пособие / И. Н. Дубина. — Электрон. текстовые данные. </w:t>
      </w:r>
      <w:r>
        <w:rPr>
          <w:shd w:val="clear" w:color="auto" w:fill="FCFCFC"/>
        </w:rPr>
        <w:lastRenderedPageBreak/>
        <w:t>— Саратов : Вузовское образование, 2018. — 260 c. — 978-5-4487-0269-3. — Режим доступа: http://www.iprbookshop.ru/76239.html</w:t>
      </w:r>
    </w:p>
    <w:p w:rsidR="00ED5BED" w:rsidRDefault="0019697F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Прокофьева, С. И. Основы теории игр [Электронный ресурс] : учебное пособие / С. И. Прокофьева, Э. Е. Пак. — 2-е изд. — Электрон. текстовые данные. — СПб. : Санкт-Петербургский государственный архитектурно-строительный университет, ЭБС АСВ, 2017. — 72 c. — 978-5-9227-0741-1. — Режим доступа: http://www.iprbookshop.ru/74340.html</w:t>
      </w:r>
    </w:p>
    <w:p w:rsidR="00ED5BED" w:rsidRDefault="00ED5BED">
      <w:pPr>
        <w:ind w:firstLine="709"/>
        <w:jc w:val="both"/>
        <w:rPr>
          <w:b/>
        </w:rPr>
      </w:pPr>
    </w:p>
    <w:p w:rsidR="00ED5BED" w:rsidRDefault="0019697F">
      <w:pPr>
        <w:ind w:firstLine="709"/>
        <w:jc w:val="center"/>
        <w:rPr>
          <w:b/>
        </w:rPr>
      </w:pPr>
      <w:r>
        <w:rPr>
          <w:b/>
        </w:rPr>
        <w:t>7.2. Дополнительная учебная литература</w:t>
      </w:r>
    </w:p>
    <w:p w:rsidR="00ED5BED" w:rsidRDefault="00ED5BED">
      <w:pPr>
        <w:ind w:firstLine="709"/>
        <w:jc w:val="center"/>
        <w:rPr>
          <w:b/>
        </w:rPr>
      </w:pP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Гадельшина Г.А. Введение в теорию игр [Электронный ресурс]: учебное пособие/ Гадельшина Г.А., Упшинская А.Е., Владимирова И.С.— Электрон. текстовые данные.— Казань: Казанский национальный исследовательский технологический университет, 2014.— 112 c.— Режим доступа: http://www.iprbookshop.ru/61829.html.— ЭБС «IPRbooks»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Дубина, И. Н. Модели теории игр для анализа креативно-инновационной деятельности [Электронный ресурс] : монография / И. Н. Дубина. — Электрон. текстовые данные. — Саратов : Ай Пи Эр Медиа, 2018. — 165 c. — 978-5-4486-0376-1. — Режим доступа: </w:t>
      </w:r>
      <w:hyperlink r:id="rId9">
        <w:r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http://www.iprbookshop.ru/76238.html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Т.А. Теория игр в принятии оптимальных решений [Электронный ресурс]: учебное пособие/ Кулешова Т.А., Облаухова М.В.— Электрон. текстовые данные.— Новосибирск: Сибирский государственный университет телекоммуникаций и информатики, 2018.— 63 c.— Режим доступа: http://www.iprbookshop.ru/84082.html.— ЭБС «IPRbooks»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Литвин, Д. Б. Элементы теории игр и нелинейного программирования [Электронный ресурс] : учебное пособие / Д. Б. Литвин, С. В. Мелешко, И. И. Мамаев. — Электрон. текстовые данные. — Ставрополь : Ставропольский государственный аграрный университет, Сервисшкола, 2017. — 84 c. — 2227-8397. — Режим доступа: </w:t>
      </w:r>
      <w:hyperlink r:id="rId10">
        <w:r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http://www.iprbookshop.ru/76072.html</w:t>
        </w:r>
      </w:hyperlink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.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указания и контрольные задания по дисциплине Теория игр [Электронный ресурс]/ — Электрон. текстовые данные.— М.: Московский технический университет связи и информатики, 2014.— 68 c.— Режим доступа: http://www.iprbookshop.ru/61764.html.— ЭБС «IPRbooks»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Информационно-справочная система «LexPro» - договор б/н от 06.03.2013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1">
        <w:r>
          <w:rPr>
            <w:rStyle w:val="-"/>
            <w:shd w:val="clear" w:color="auto" w:fill="FCFCFC"/>
          </w:rPr>
          <w:t>http://pravo.gov.ru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  <w:shd w:val="clear" w:color="auto" w:fill="FCFCFC"/>
          </w:rPr>
          <w:t>http://fgosvo.ru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  <w:shd w:val="clear" w:color="auto" w:fill="FCFCFC"/>
          </w:rPr>
          <w:t>http://www.ict.edu.ru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Научная электронная библиотека </w:t>
      </w:r>
      <w:hyperlink r:id="rId14">
        <w:r>
          <w:rPr>
            <w:rStyle w:val="-"/>
            <w:shd w:val="clear" w:color="auto" w:fill="FCFCFC"/>
          </w:rPr>
          <w:t>http://www.elibrary.ru/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Национальная электронная библиотека </w:t>
      </w:r>
      <w:hyperlink r:id="rId15">
        <w:r>
          <w:rPr>
            <w:rStyle w:val="-"/>
            <w:shd w:val="clear" w:color="auto" w:fill="FCFCFC"/>
          </w:rPr>
          <w:t>http://www.nns.ru/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6">
        <w:r>
          <w:rPr>
            <w:rStyle w:val="-"/>
            <w:shd w:val="clear" w:color="auto" w:fill="FCFCFC"/>
          </w:rPr>
          <w:t>http://www.rsl.ru/ru/root3489/all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  <w:shd w:val="clear" w:color="auto" w:fill="FCFCFC"/>
          </w:rPr>
          <w:t>http://webofscience.com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lastRenderedPageBreak/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  <w:shd w:val="clear" w:color="auto" w:fill="FCFCFC"/>
          </w:rPr>
          <w:t>http://neicon.ru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Базы данных издательства Springer </w:t>
      </w:r>
      <w:hyperlink r:id="rId19">
        <w:r>
          <w:rPr>
            <w:rStyle w:val="-"/>
            <w:shd w:val="clear" w:color="auto" w:fill="FCFCFC"/>
          </w:rPr>
          <w:t>https://link.springer.com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Открытые данные государственных органов </w:t>
      </w:r>
      <w:hyperlink r:id="rId20">
        <w:r>
          <w:rPr>
            <w:rStyle w:val="-"/>
            <w:shd w:val="clear" w:color="auto" w:fill="FCFCFC"/>
          </w:rPr>
          <w:t>http://data.gov.ru/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Автоматизированная библиотечная система МАРК (по договору).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1">
        <w:r>
          <w:rPr>
            <w:rStyle w:val="-"/>
            <w:shd w:val="clear" w:color="auto" w:fill="FCFCFC"/>
          </w:rPr>
          <w:t>www.rsl.ru/ru/root3489/all</w:t>
        </w:r>
      </w:hyperlink>
      <w:r>
        <w:rPr>
          <w:shd w:val="clear" w:color="auto" w:fill="FCFCFC"/>
        </w:rPr>
        <w:t>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2">
        <w:r>
          <w:rPr>
            <w:rStyle w:val="-"/>
            <w:shd w:val="clear" w:color="auto" w:fill="FCFCFC"/>
          </w:rPr>
          <w:t>http://www.ict.edu.ru</w:t>
        </w:r>
      </w:hyperlink>
      <w:r>
        <w:rPr>
          <w:shd w:val="clear" w:color="auto" w:fill="FCFCFC"/>
        </w:rPr>
        <w:t>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3">
        <w:r>
          <w:rPr>
            <w:rStyle w:val="-"/>
            <w:shd w:val="clear" w:color="auto" w:fill="FCFCFC"/>
          </w:rPr>
          <w:t>https://www.fedstat.ru/</w:t>
        </w:r>
      </w:hyperlink>
      <w:r>
        <w:rPr>
          <w:shd w:val="clear" w:color="auto" w:fill="FCFCFC"/>
        </w:rPr>
        <w:t xml:space="preserve">. 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Интерактивная витрина данных http://cbsd.gks.ru/# ;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Открытые данные государственных органов http://data.gov.ru/ 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Основные статистические сборники </w:t>
      </w:r>
      <w:hyperlink r:id="rId24">
        <w:r>
          <w:rPr>
            <w:rStyle w:val="-"/>
            <w:shd w:val="clear" w:color="auto" w:fill="FCFCFC"/>
          </w:rPr>
          <w:t>http:/www.gks.ru/wps/wcm/connect/rosstat_main/rosstat/ru/statistics/publications/plan/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Статистика Европейского Союза//http://ec.europa.eu/eurostat/.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Интернет-портал страхового бизнеса -  </w:t>
      </w:r>
      <w:hyperlink r:id="rId25">
        <w:r>
          <w:rPr>
            <w:rStyle w:val="-"/>
            <w:shd w:val="clear" w:color="auto" w:fill="FCFCFC"/>
          </w:rPr>
          <w:t>www.allinsurance.ru</w:t>
        </w:r>
      </w:hyperlink>
      <w:r>
        <w:rPr>
          <w:shd w:val="clear" w:color="auto" w:fill="FCFCFC"/>
        </w:rPr>
        <w:t>.</w:t>
      </w:r>
    </w:p>
    <w:p w:rsidR="00ED5BED" w:rsidRDefault="00ED5BED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ED5BED" w:rsidRDefault="0019697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ED5BED" w:rsidRDefault="00ED5BED">
      <w:pPr>
        <w:pStyle w:val="1e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</w:t>
            </w:r>
            <w:r>
              <w:rPr>
                <w:sz w:val="24"/>
                <w:szCs w:val="24"/>
              </w:rPr>
              <w:lastRenderedPageBreak/>
              <w:t>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Темау,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компьютерного тестирования, т.е. компьютер </w:t>
            </w:r>
            <w:r>
              <w:rPr>
                <w:sz w:val="24"/>
                <w:szCs w:val="24"/>
              </w:rPr>
              <w:lastRenderedPageBreak/>
              <w:t>произвольно выбирает вопросы из базы данных по степени сложности;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экзамена.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экзамену необходимо начинать с первой </w:t>
            </w:r>
            <w:r>
              <w:rPr>
                <w:sz w:val="24"/>
                <w:szCs w:val="24"/>
              </w:rPr>
              <w:lastRenderedPageBreak/>
              <w:t>лекции и первого семинара.</w:t>
            </w:r>
          </w:p>
        </w:tc>
      </w:tr>
    </w:tbl>
    <w:p w:rsidR="00ED5BED" w:rsidRDefault="00ED5BED">
      <w:pPr>
        <w:pStyle w:val="1e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5BED" w:rsidRDefault="0019697F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ED5BED" w:rsidRDefault="00ED5BED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ED5BED" w:rsidRDefault="0019697F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D5BED" w:rsidRDefault="00ED5BED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ED5BED" w:rsidRDefault="00ED5BED"/>
    <w:p w:rsidR="00ED5BED" w:rsidRDefault="0019697F">
      <w:pPr>
        <w:numPr>
          <w:ilvl w:val="2"/>
          <w:numId w:val="2"/>
        </w:num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D5BED" w:rsidRDefault="00ED5BED"/>
    <w:p w:rsidR="00ED5BED" w:rsidRDefault="0019697F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ED5BED" w:rsidRDefault="0019697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ED5BED" w:rsidRDefault="0019697F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ED5BED" w:rsidRDefault="0019697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ED5BED" w:rsidRDefault="0019697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ED5BED" w:rsidRDefault="0019697F">
      <w:pPr>
        <w:numPr>
          <w:ilvl w:val="0"/>
          <w:numId w:val="2"/>
        </w:numPr>
        <w:ind w:left="0"/>
        <w:jc w:val="both"/>
      </w:pPr>
      <w:r>
        <w:lastRenderedPageBreak/>
        <w:t xml:space="preserve">В процессе преподавания используются также специальные ресурсы кабинета экономики (403 ауд.). </w:t>
      </w:r>
    </w:p>
    <w:p w:rsidR="00ED5BED" w:rsidRDefault="00ED5BED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ED5BED" w:rsidRDefault="0019697F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ED5BED" w:rsidRDefault="00ED5B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D5BED" w:rsidRDefault="001969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D5BED" w:rsidRDefault="001969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ED5BED" w:rsidRDefault="00ED5BED">
      <w:pPr>
        <w:tabs>
          <w:tab w:val="left" w:pos="567"/>
          <w:tab w:val="left" w:pos="1276"/>
        </w:tabs>
        <w:jc w:val="both"/>
        <w:rPr>
          <w:b/>
        </w:rPr>
      </w:pPr>
    </w:p>
    <w:p w:rsidR="00ED5BED" w:rsidRDefault="0019697F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ED5BED" w:rsidRDefault="00ED5BED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ED5BED" w:rsidRDefault="0019697F">
      <w:pPr>
        <w:pStyle w:val="af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ED5BED" w:rsidRDefault="00ED5B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D5BED" w:rsidRDefault="0019697F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экономики и управления МПСУ</w:t>
      </w:r>
    </w:p>
    <w:p w:rsidR="00ED5BED" w:rsidRDefault="0019697F">
      <w:pPr>
        <w:widowControl/>
        <w:rPr>
          <w:rFonts w:eastAsia="Times New Roman"/>
          <w:b/>
        </w:rPr>
      </w:pPr>
      <w:r>
        <w:br w:type="page"/>
      </w:r>
    </w:p>
    <w:p w:rsidR="00ED5BED" w:rsidRDefault="00ED5BED">
      <w:pPr>
        <w:widowControl/>
        <w:rPr>
          <w:rFonts w:eastAsia="Times New Roman"/>
          <w:b/>
        </w:rPr>
      </w:pPr>
    </w:p>
    <w:p w:rsidR="00ED5BED" w:rsidRDefault="0019697F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ED5BED" w:rsidRDefault="00ED5BED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ED5BED" w:rsidRDefault="0019697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ED5BED" w:rsidRDefault="00ED5BED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ED5BED" w:rsidRDefault="0019697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8" w:name="_Toc481796236"/>
      <w:bookmarkEnd w:id="8"/>
      <w:r>
        <w:rPr>
          <w:rFonts w:eastAsia="Times New Roman"/>
          <w:b/>
          <w:bCs/>
        </w:rPr>
        <w:t>Лист регистрации изменений</w:t>
      </w:r>
    </w:p>
    <w:p w:rsidR="00ED5BED" w:rsidRDefault="00ED5BED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ED5BED" w:rsidTr="00B3279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ED5BED" w:rsidTr="00B3279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B3279E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79E" w:rsidRPr="00E94D2B" w:rsidRDefault="00B3279E" w:rsidP="00B3279E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Pr="00E94D2B" w:rsidRDefault="00B3279E" w:rsidP="00B3279E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Pr="00E94D2B" w:rsidRDefault="00B3279E" w:rsidP="00B3279E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B3279E" w:rsidTr="00846AE6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79E" w:rsidRDefault="00B3279E" w:rsidP="00B3279E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</w:t>
            </w:r>
            <w:r>
              <w:rPr>
                <w:rFonts w:eastAsia="Calibri;Arial Unicode MS"/>
                <w:szCs w:val="26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  <w:tr w:rsidR="00846AE6" w:rsidTr="00B3279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46AE6" w:rsidRDefault="00846AE6" w:rsidP="00846AE6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9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6AE6" w:rsidRPr="00784A6F" w:rsidRDefault="00846AE6" w:rsidP="00846AE6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46AE6" w:rsidRPr="00784A6F" w:rsidRDefault="00846AE6" w:rsidP="00846AE6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46AE6" w:rsidRPr="00784A6F" w:rsidRDefault="00846AE6" w:rsidP="00846AE6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  <w:bookmarkEnd w:id="9"/>
    </w:tbl>
    <w:p w:rsidR="00ED5BED" w:rsidRDefault="00ED5BED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ED5BED">
      <w:footerReference w:type="default" r:id="rId26"/>
      <w:footerReference w:type="first" r:id="rId2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BF" w:rsidRDefault="00733ABF">
      <w:r>
        <w:separator/>
      </w:r>
    </w:p>
  </w:endnote>
  <w:endnote w:type="continuationSeparator" w:id="0">
    <w:p w:rsidR="00733ABF" w:rsidRDefault="007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194884"/>
      <w:docPartObj>
        <w:docPartGallery w:val="Page Numbers (Bottom of Page)"/>
        <w:docPartUnique/>
      </w:docPartObj>
    </w:sdtPr>
    <w:sdtEndPr/>
    <w:sdtContent>
      <w:p w:rsidR="00ED5BED" w:rsidRDefault="0019697F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6AE6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D" w:rsidRDefault="00ED5BED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BF" w:rsidRDefault="00733ABF">
      <w:r>
        <w:separator/>
      </w:r>
    </w:p>
  </w:footnote>
  <w:footnote w:type="continuationSeparator" w:id="0">
    <w:p w:rsidR="00733ABF" w:rsidRDefault="0073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0FC3"/>
    <w:multiLevelType w:val="multilevel"/>
    <w:tmpl w:val="C27824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E703990"/>
    <w:multiLevelType w:val="multilevel"/>
    <w:tmpl w:val="EC30A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66D3A"/>
    <w:multiLevelType w:val="multilevel"/>
    <w:tmpl w:val="44F03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2C1"/>
    <w:multiLevelType w:val="multilevel"/>
    <w:tmpl w:val="60168F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AC6F18"/>
    <w:multiLevelType w:val="multilevel"/>
    <w:tmpl w:val="62FA9B1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F54261"/>
    <w:multiLevelType w:val="multilevel"/>
    <w:tmpl w:val="8A5C4DA2"/>
    <w:lvl w:ilvl="0">
      <w:start w:val="1"/>
      <w:numFmt w:val="decimal"/>
      <w:lvlText w:val="%1."/>
      <w:lvlJc w:val="left"/>
      <w:pPr>
        <w:ind w:left="1639" w:hanging="9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DF1729"/>
    <w:multiLevelType w:val="multilevel"/>
    <w:tmpl w:val="512ED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C39"/>
    <w:multiLevelType w:val="multilevel"/>
    <w:tmpl w:val="44AC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24D5F"/>
    <w:multiLevelType w:val="multilevel"/>
    <w:tmpl w:val="EE3067C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D3EB4"/>
    <w:multiLevelType w:val="multilevel"/>
    <w:tmpl w:val="867A8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85DCA"/>
    <w:multiLevelType w:val="multilevel"/>
    <w:tmpl w:val="D456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6A6449B6"/>
    <w:multiLevelType w:val="multilevel"/>
    <w:tmpl w:val="00AC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68D4"/>
    <w:multiLevelType w:val="multilevel"/>
    <w:tmpl w:val="9DB228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D"/>
    <w:rsid w:val="00176252"/>
    <w:rsid w:val="0019697F"/>
    <w:rsid w:val="00441809"/>
    <w:rsid w:val="00733ABF"/>
    <w:rsid w:val="00846AE6"/>
    <w:rsid w:val="00B3279E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1F0B"/>
  <w15:docId w15:val="{B44FD740-C135-4DA5-9ED2-630EAF5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24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">
    <w:name w:val="Emphasis"/>
    <w:qFormat/>
    <w:rsid w:val="00D073E7"/>
    <w:rPr>
      <w:i/>
      <w:iCs/>
    </w:rPr>
  </w:style>
  <w:style w:type="character" w:customStyle="1" w:styleId="ListParagraphChar">
    <w:name w:val="List Paragraph Char"/>
    <w:link w:val="19"/>
    <w:locked/>
    <w:rsid w:val="00D07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 w:val="0"/>
      <w:i/>
    </w:rPr>
  </w:style>
  <w:style w:type="character" w:customStyle="1" w:styleId="ListLabel8">
    <w:name w:val="ListLabel 8"/>
    <w:rPr>
      <w:i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4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62">
    <w:name w:val="Основной текст (6)"/>
    <w:basedOn w:val="a"/>
    <w:link w:val="61"/>
    <w:rsid w:val="00CF27FE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c">
    <w:name w:val="Стиль Заголовок 2 + по центру"/>
    <w:basedOn w:val="2"/>
    <w:rsid w:val="00C20DFA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style2">
    <w:name w:val="style2"/>
    <w:basedOn w:val="a"/>
    <w:rsid w:val="00D073E7"/>
    <w:pPr>
      <w:widowControl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link w:val="ListParagraphChar"/>
    <w:rsid w:val="00D073E7"/>
    <w:pPr>
      <w:widowControl/>
      <w:ind w:left="720"/>
    </w:pPr>
    <w:rPr>
      <w:rFonts w:eastAsia="Calibri"/>
    </w:rPr>
  </w:style>
  <w:style w:type="paragraph" w:customStyle="1" w:styleId="Default">
    <w:name w:val="Default"/>
    <w:rsid w:val="008D3B6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sl.ru/ru/root3489/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5" Type="http://schemas.openxmlformats.org/officeDocument/2006/relationships/hyperlink" Target="http://www.allinsuranc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gks.ru/wps/wcm/connect/rosstat_main/rosstat/ru/statistics/publications/pl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hyperlink" Target="https://www.fedsta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6072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238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6EEF-8D0D-432D-B90A-4E16008E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4376</Words>
  <Characters>24949</Characters>
  <Application>Microsoft Office Word</Application>
  <DocSecurity>0</DocSecurity>
  <Lines>207</Lines>
  <Paragraphs>58</Paragraphs>
  <ScaleCrop>false</ScaleCrop>
  <Company>Microsoft</Company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23</cp:revision>
  <dcterms:created xsi:type="dcterms:W3CDTF">2019-02-27T09:17:00Z</dcterms:created>
  <dcterms:modified xsi:type="dcterms:W3CDTF">2022-10-05T14:30:00Z</dcterms:modified>
  <dc:language>ru-RU</dc:language>
</cp:coreProperties>
</file>